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33A" w:rsidRDefault="000B5B69" w:rsidP="004F02FF">
      <w:pPr>
        <w:spacing w:after="0"/>
        <w:jc w:val="center"/>
      </w:pPr>
      <w:r>
        <w:rPr>
          <w:b/>
          <w:bCs/>
          <w:sz w:val="34"/>
          <w:szCs w:val="34"/>
        </w:rPr>
        <w:t>Предлог-листа на релевантни обуки и тренинзи</w:t>
      </w:r>
    </w:p>
    <w:p w:rsidR="00C1633A" w:rsidRDefault="000B5B69" w:rsidP="004F02FF">
      <w:pPr>
        <w:spacing w:after="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за потенцијални апликанти во рамките на Програмата „Заедници со интегритет“</w:t>
      </w:r>
    </w:p>
    <w:p w:rsidR="004F02FF" w:rsidRDefault="004F02FF" w:rsidP="004F02FF">
      <w:pPr>
        <w:spacing w:after="0"/>
        <w:jc w:val="center"/>
      </w:pPr>
    </w:p>
    <w:p w:rsidR="00C1633A" w:rsidRDefault="000B5B69">
      <w:r>
        <w:rPr>
          <w:b/>
          <w:bCs/>
        </w:rPr>
        <w:t xml:space="preserve">Напомена: </w:t>
      </w:r>
      <w:r>
        <w:t>Листата е индикативна, за секој повик може да се наведат приоритетни области и видови поддршка. Кандидатите можат да предложат обука, курс или сертифицирана програма, доколку јасно ја образложат поврзаноста со работното место, институцијата/општината и цел</w:t>
      </w:r>
      <w:r>
        <w:t>ите на проектот „Заедници со интегритет“.</w:t>
      </w:r>
    </w:p>
    <w:p w:rsidR="00C1633A" w:rsidRPr="004F02FF" w:rsidRDefault="000B5B69" w:rsidP="004F02FF">
      <w:pPr>
        <w:pStyle w:val="Heading1"/>
        <w:spacing w:before="0"/>
        <w:rPr>
          <w:color w:val="auto"/>
          <w:sz w:val="24"/>
          <w:szCs w:val="24"/>
        </w:rPr>
      </w:pPr>
      <w:r w:rsidRPr="004F02FF">
        <w:rPr>
          <w:color w:val="auto"/>
          <w:sz w:val="24"/>
          <w:szCs w:val="24"/>
        </w:rPr>
        <w:t>Предлог-области и конкретни даватели/организации</w:t>
      </w:r>
    </w:p>
    <w:tbl>
      <w:tblPr>
        <w:tblStyle w:val="a"/>
        <w:tblW w:w="126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30"/>
        <w:gridCol w:w="6635"/>
      </w:tblGrid>
      <w:tr w:rsidR="00C1633A" w:rsidTr="004F02FF">
        <w:trPr>
          <w:tblHeader/>
          <w:jc w:val="center"/>
        </w:trPr>
        <w:tc>
          <w:tcPr>
            <w:tcW w:w="6030" w:type="dxa"/>
            <w:shd w:val="clear" w:color="auto" w:fill="1F4E79"/>
          </w:tcPr>
          <w:p w:rsidR="00C1633A" w:rsidRDefault="000B5B69">
            <w:r w:rsidRPr="004F02FF">
              <w:rPr>
                <w:b/>
                <w:bCs/>
                <w:color w:val="FFFFFF"/>
              </w:rPr>
              <w:t>Област / тема</w:t>
            </w:r>
          </w:p>
        </w:tc>
        <w:tc>
          <w:tcPr>
            <w:tcW w:w="6635" w:type="dxa"/>
            <w:shd w:val="clear" w:color="auto" w:fill="1F4E79"/>
          </w:tcPr>
          <w:p w:rsidR="00C1633A" w:rsidRDefault="000B5B69">
            <w:r w:rsidRPr="004F02FF">
              <w:rPr>
                <w:b/>
                <w:bCs/>
                <w:color w:val="FFFFFF"/>
              </w:rPr>
              <w:t>Зошто е релевантно за критериумите</w:t>
            </w:r>
          </w:p>
        </w:tc>
      </w:tr>
      <w:tr w:rsidR="00C1633A" w:rsidTr="004F02FF">
        <w:trPr>
          <w:jc w:val="center"/>
        </w:trPr>
        <w:tc>
          <w:tcPr>
            <w:tcW w:w="6030" w:type="dxa"/>
          </w:tcPr>
          <w:p w:rsidR="00C1633A" w:rsidRDefault="000B5B69">
            <w:r w:rsidRPr="004F02FF">
              <w:t>Јавни набавки и интегритет во јавни набавки; e-набавки; управување со ризици и спречување корупција во јавни набавк</w:t>
            </w:r>
            <w:r w:rsidRPr="004F02FF">
              <w:t>и.</w:t>
            </w:r>
          </w:p>
        </w:tc>
        <w:tc>
          <w:tcPr>
            <w:tcW w:w="6635" w:type="dxa"/>
          </w:tcPr>
          <w:p w:rsidR="00C1633A" w:rsidRDefault="000B5B69">
            <w:r w:rsidRPr="004F02FF">
              <w:t>Директно поврзано со интегритет, транспарентно трошење јавни средства, превенција на корупциски ризици и подобрување на институционални процедури.</w:t>
            </w:r>
          </w:p>
        </w:tc>
      </w:tr>
      <w:tr w:rsidR="00C1633A" w:rsidTr="004F02FF">
        <w:trPr>
          <w:jc w:val="center"/>
        </w:trPr>
        <w:tc>
          <w:tcPr>
            <w:tcW w:w="6030" w:type="dxa"/>
          </w:tcPr>
          <w:p w:rsidR="00C1633A" w:rsidRDefault="000B5B69">
            <w:r w:rsidRPr="004F02FF">
              <w:t xml:space="preserve">Интегритет, антикорупција и заштитено пријавување; проценка на корупциски ризици; подготовка на регистар </w:t>
            </w:r>
            <w:r w:rsidRPr="004F02FF">
              <w:t>на ризици од корупција</w:t>
            </w:r>
          </w:p>
        </w:tc>
        <w:tc>
          <w:tcPr>
            <w:tcW w:w="6635" w:type="dxa"/>
          </w:tcPr>
          <w:p w:rsidR="00C1633A" w:rsidRDefault="000B5B69">
            <w:r w:rsidRPr="004F02FF">
              <w:t>Најдиректно поврзано со целите на проектот „Заедници со интегритет“ и со критериумите за придонес кон интегритет, антикорупција и намалување на корупциските ризици.</w:t>
            </w:r>
          </w:p>
        </w:tc>
      </w:tr>
      <w:tr w:rsidR="00C1633A" w:rsidTr="004F02FF">
        <w:trPr>
          <w:jc w:val="center"/>
        </w:trPr>
        <w:tc>
          <w:tcPr>
            <w:tcW w:w="6030" w:type="dxa"/>
          </w:tcPr>
          <w:p w:rsidR="00C1633A" w:rsidRDefault="000B5B69">
            <w:r w:rsidRPr="004F02FF">
              <w:t>Управување со ризици, јавни финансии, финансиско управување и контрола; Мапирање и проценка на ризици; регистар на ризици; финансиско управување и контрола; буџетско планирање;</w:t>
            </w:r>
          </w:p>
        </w:tc>
        <w:tc>
          <w:tcPr>
            <w:tcW w:w="6635" w:type="dxa"/>
          </w:tcPr>
          <w:p w:rsidR="00C1633A" w:rsidRDefault="000B5B69">
            <w:r w:rsidRPr="004F02FF">
              <w:t>Релевантно за институции и општини кои треба да воспостават подобри контроли, д</w:t>
            </w:r>
            <w:r w:rsidRPr="004F02FF">
              <w:t>а управуваат со ризици и да обезбедат поотчетно и поефикасно користење јавни средства.</w:t>
            </w:r>
          </w:p>
        </w:tc>
      </w:tr>
      <w:tr w:rsidR="00C1633A" w:rsidTr="004F02FF">
        <w:trPr>
          <w:jc w:val="center"/>
        </w:trPr>
        <w:tc>
          <w:tcPr>
            <w:tcW w:w="6030" w:type="dxa"/>
          </w:tcPr>
          <w:p w:rsidR="00C1633A" w:rsidRPr="004F02FF" w:rsidRDefault="004F02FF" w:rsidP="004F02FF">
            <w:pPr>
              <w:rPr>
                <w:lang w:val="mk-MK"/>
              </w:rPr>
            </w:pPr>
            <w:r>
              <w:t xml:space="preserve">Ревизија, внатрешна ревизија, </w:t>
            </w:r>
            <w:r>
              <w:t xml:space="preserve">инспекциски надзор </w:t>
            </w:r>
            <w:r w:rsidR="000B5B69" w:rsidRPr="004F02FF">
              <w:t>и контрол</w:t>
            </w:r>
            <w:r>
              <w:rPr>
                <w:lang w:val="mk-MK"/>
              </w:rPr>
              <w:t>а.</w:t>
            </w:r>
          </w:p>
        </w:tc>
        <w:tc>
          <w:tcPr>
            <w:tcW w:w="6635" w:type="dxa"/>
          </w:tcPr>
          <w:p w:rsidR="00C1633A" w:rsidRDefault="000B5B69">
            <w:r w:rsidRPr="004F02FF">
              <w:t>П</w:t>
            </w:r>
            <w:r w:rsidRPr="004F02FF">
              <w:t>оврзано со отчетност, внатрешна контрола, следење на препораки и подобрување на институционални практики.</w:t>
            </w:r>
          </w:p>
        </w:tc>
      </w:tr>
      <w:tr w:rsidR="00C1633A" w:rsidTr="004F02FF">
        <w:trPr>
          <w:jc w:val="center"/>
        </w:trPr>
        <w:tc>
          <w:tcPr>
            <w:tcW w:w="6030" w:type="dxa"/>
          </w:tcPr>
          <w:p w:rsidR="00C1633A" w:rsidRDefault="000B5B69">
            <w:r w:rsidRPr="004F02FF">
              <w:t>Дигитализација, M</w:t>
            </w:r>
            <w:r w:rsidRPr="004F02FF">
              <w:t>icrosoft Office advanced; AI; Data Analyst; SQL/Python, Micforsoft 365 Copilot анализа на податоци и визуелизација; подготовка на dashboards; Document management system</w:t>
            </w:r>
          </w:p>
        </w:tc>
        <w:tc>
          <w:tcPr>
            <w:tcW w:w="6635" w:type="dxa"/>
          </w:tcPr>
          <w:p w:rsidR="00C1633A" w:rsidRDefault="000B5B69">
            <w:r w:rsidRPr="004F02FF">
              <w:t>Корисно кога кандидатот ќе покаже практична примена: подобри извештаи, анализи, монитор</w:t>
            </w:r>
            <w:r w:rsidRPr="004F02FF">
              <w:t>инг на ризици, јавни услуги, отворени податоци или визуелизација на институционални резултати.</w:t>
            </w:r>
          </w:p>
        </w:tc>
      </w:tr>
      <w:tr w:rsidR="00C1633A" w:rsidTr="004F02FF">
        <w:trPr>
          <w:jc w:val="center"/>
        </w:trPr>
        <w:tc>
          <w:tcPr>
            <w:tcW w:w="6030" w:type="dxa"/>
          </w:tcPr>
          <w:p w:rsidR="00C1633A" w:rsidRDefault="000B5B69">
            <w:r w:rsidRPr="004F02FF">
              <w:t>Проектен менаџмент, мониторинг и известување; планирање активности; буџетирање; мониторинг и контрола; подготовка извештаи; управување со време и ресурси</w:t>
            </w:r>
          </w:p>
        </w:tc>
        <w:tc>
          <w:tcPr>
            <w:tcW w:w="6635" w:type="dxa"/>
          </w:tcPr>
          <w:p w:rsidR="00C1633A" w:rsidRDefault="000B5B69">
            <w:r w:rsidRPr="004F02FF">
              <w:t>Релева</w:t>
            </w:r>
            <w:r w:rsidRPr="004F02FF">
              <w:t>нтно за кандидати кои работат на планови, стратегии, акциски планови, проектни активности, прогрес-извештаи и пренос на знаење.</w:t>
            </w:r>
          </w:p>
        </w:tc>
      </w:tr>
      <w:tr w:rsidR="00C1633A" w:rsidTr="004F02FF">
        <w:trPr>
          <w:jc w:val="center"/>
        </w:trPr>
        <w:tc>
          <w:tcPr>
            <w:tcW w:w="6030" w:type="dxa"/>
          </w:tcPr>
          <w:p w:rsidR="00C1633A" w:rsidRDefault="000B5B69">
            <w:r w:rsidRPr="004F02FF">
              <w:t>Јавна администрација, добро управување и квалитет на јавни услуги; управување со промени; управување со човечки ресурси; квалит</w:t>
            </w:r>
            <w:r w:rsidRPr="004F02FF">
              <w:t>ет на услуги; комуникација со граѓани; стратешко планирање.</w:t>
            </w:r>
          </w:p>
        </w:tc>
        <w:tc>
          <w:tcPr>
            <w:tcW w:w="6635" w:type="dxa"/>
          </w:tcPr>
          <w:p w:rsidR="00C1633A" w:rsidRDefault="000B5B69">
            <w:r w:rsidRPr="004F02FF">
              <w:t>Ги поддржува критериумите за поврзаност со работно место,</w:t>
            </w:r>
            <w:r w:rsidR="004F02FF">
              <w:rPr>
                <w:lang w:val="mk-MK"/>
              </w:rPr>
              <w:t xml:space="preserve"> </w:t>
            </w:r>
            <w:r w:rsidR="004F02FF" w:rsidRPr="004F02FF">
              <w:rPr>
                <w:lang w:val="mk-MK"/>
              </w:rPr>
              <w:t>надзор над работата на општината</w:t>
            </w:r>
            <w:r w:rsidR="004F02FF">
              <w:rPr>
                <w:lang w:val="mk-MK"/>
              </w:rPr>
              <w:t>,</w:t>
            </w:r>
            <w:r w:rsidRPr="004F02FF">
              <w:t xml:space="preserve"> практична примена и институционално подобрување во насока</w:t>
            </w:r>
            <w:r w:rsidRPr="004F02FF">
              <w:t xml:space="preserve"> на добро управување и услуги за граѓаните.</w:t>
            </w:r>
          </w:p>
        </w:tc>
      </w:tr>
      <w:tr w:rsidR="00C1633A" w:rsidTr="004F02FF">
        <w:trPr>
          <w:jc w:val="center"/>
        </w:trPr>
        <w:tc>
          <w:tcPr>
            <w:tcW w:w="6030" w:type="dxa"/>
          </w:tcPr>
          <w:p w:rsidR="00C1633A" w:rsidRDefault="000B5B69">
            <w:r w:rsidRPr="004F02FF">
              <w:t>Правна рамка, регулатива и инстит</w:t>
            </w:r>
            <w:r w:rsidRPr="004F02FF">
              <w:t>уционални процедури; функционални анализи; усогласеност и етичко постапување</w:t>
            </w:r>
          </w:p>
        </w:tc>
        <w:tc>
          <w:tcPr>
            <w:tcW w:w="6635" w:type="dxa"/>
          </w:tcPr>
          <w:p w:rsidR="00C1633A" w:rsidRDefault="000B5B69">
            <w:r w:rsidRPr="004F02FF">
              <w:t>Релевантно за кандидати од правни, административни, инспекциски и нормативни сектори, особено кога резултатот може да биде подобрена процедура, насоки или анализа.</w:t>
            </w:r>
          </w:p>
        </w:tc>
      </w:tr>
    </w:tbl>
    <w:p w:rsidR="00C1633A" w:rsidRDefault="00C1633A">
      <w:pPr>
        <w:tabs>
          <w:tab w:val="left" w:pos="7728"/>
        </w:tabs>
      </w:pPr>
      <w:bookmarkStart w:id="0" w:name="_ti3b6pwvrebq" w:colFirst="0" w:colLast="0"/>
      <w:bookmarkStart w:id="1" w:name="_GoBack"/>
      <w:bookmarkEnd w:id="0"/>
      <w:bookmarkEnd w:id="1"/>
    </w:p>
    <w:sectPr w:rsidR="00C1633A" w:rsidSect="004F02FF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B69" w:rsidRDefault="000B5B69">
      <w:pPr>
        <w:spacing w:after="0" w:line="240" w:lineRule="auto"/>
      </w:pPr>
      <w:r>
        <w:separator/>
      </w:r>
    </w:p>
  </w:endnote>
  <w:endnote w:type="continuationSeparator" w:id="0">
    <w:p w:rsidR="000B5B69" w:rsidRDefault="000B5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D617AD9-B8BD-4639-B25F-BCD832F02739}"/>
    <w:embedBold r:id="rId2" w:fontKey="{72A54B9C-C1E6-411A-A6A2-6044B89CDBA6}"/>
    <w:embedItalic r:id="rId3" w:fontKey="{726451BD-7402-44DA-923B-863B88BEBA6C}"/>
    <w:embedBoldItalic r:id="rId4" w:fontKey="{7CBD5E5D-D356-4E7A-BEB6-B3A43C5D03A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2F3C6E70-52BB-43BC-ACF0-641D320F92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C2C9689-6231-4CF9-A2B2-C7424E7B2EF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2FF" w:rsidRDefault="004F02FF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9859008" wp14:editId="23F35F25">
          <wp:simplePos x="0" y="0"/>
          <wp:positionH relativeFrom="margin">
            <wp:posOffset>1257300</wp:posOffset>
          </wp:positionH>
          <wp:positionV relativeFrom="paragraph">
            <wp:posOffset>29845</wp:posOffset>
          </wp:positionV>
          <wp:extent cx="5346700" cy="558800"/>
          <wp:effectExtent l="0" t="0" r="6350" b="0"/>
          <wp:wrapNone/>
          <wp:docPr id="131806449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064496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46700" cy="5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1633A" w:rsidRDefault="00C163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B69" w:rsidRDefault="000B5B69">
      <w:pPr>
        <w:spacing w:after="0" w:line="240" w:lineRule="auto"/>
      </w:pPr>
      <w:r>
        <w:separator/>
      </w:r>
    </w:p>
  </w:footnote>
  <w:footnote w:type="continuationSeparator" w:id="0">
    <w:p w:rsidR="000B5B69" w:rsidRDefault="000B5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2FF" w:rsidRDefault="004F02F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4AB8D2F" wp14:editId="14540125">
          <wp:simplePos x="0" y="0"/>
          <wp:positionH relativeFrom="margin">
            <wp:posOffset>563880</wp:posOffset>
          </wp:positionH>
          <wp:positionV relativeFrom="paragraph">
            <wp:posOffset>-327660</wp:posOffset>
          </wp:positionV>
          <wp:extent cx="6972300" cy="767515"/>
          <wp:effectExtent l="0" t="0" r="0" b="0"/>
          <wp:wrapNone/>
          <wp:docPr id="30468007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680079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2300" cy="767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F02FF" w:rsidRDefault="004F02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33A"/>
    <w:rsid w:val="000B5B69"/>
    <w:rsid w:val="004F02FF"/>
    <w:rsid w:val="00C1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5E482"/>
  <w15:docId w15:val="{DA2C73B9-4843-4ACE-85BD-84B9F4963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0"/>
      <w:outlineLvl w:val="0"/>
    </w:pPr>
    <w:rPr>
      <w:b/>
      <w:bCs/>
      <w:color w:val="366091"/>
      <w:sz w:val="34"/>
      <w:szCs w:val="34"/>
    </w:rPr>
  </w:style>
  <w:style w:type="paragraph" w:styleId="Heading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F81BD"/>
      <w:sz w:val="22"/>
      <w:szCs w:val="22"/>
    </w:rPr>
  </w:style>
  <w:style w:type="paragraph" w:styleId="Heading4">
    <w:name w:val="heading 4"/>
    <w:basedOn w:val="Normal"/>
    <w:next w:val="Normal"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Heading5">
    <w:name w:val="heading 5"/>
    <w:basedOn w:val="Normal"/>
    <w:next w:val="Normal"/>
    <w:pPr>
      <w:keepNext/>
      <w:keepLines/>
      <w:spacing w:before="200" w:after="0"/>
      <w:outlineLvl w:val="4"/>
    </w:pPr>
    <w:rPr>
      <w:color w:val="243F61"/>
    </w:rPr>
  </w:style>
  <w:style w:type="paragraph" w:styleId="Heading6">
    <w:name w:val="heading 6"/>
    <w:basedOn w:val="Normal"/>
    <w:next w:val="Normal"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rPr>
      <w:i/>
      <w:iCs/>
      <w:color w:val="4F81BD"/>
      <w:sz w:val="24"/>
      <w:szCs w:val="24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2F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F02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2FF"/>
  </w:style>
  <w:style w:type="paragraph" w:styleId="Footer">
    <w:name w:val="footer"/>
    <w:basedOn w:val="Normal"/>
    <w:link w:val="FooterChar"/>
    <w:uiPriority w:val="99"/>
    <w:unhideWhenUsed/>
    <w:rsid w:val="004F02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0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Aleksandra Jovevska</cp:lastModifiedBy>
  <cp:revision>2</cp:revision>
  <dcterms:created xsi:type="dcterms:W3CDTF">2026-06-29T09:54:00Z</dcterms:created>
  <dcterms:modified xsi:type="dcterms:W3CDTF">2026-06-29T10:05:00Z</dcterms:modified>
</cp:coreProperties>
</file>